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3F63FC" w:rsidRDefault="003F63FC" w:rsidP="003F63FC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3F63FC">
        <w:rPr>
          <w:spacing w:val="-20"/>
          <w:sz w:val="36"/>
          <w:szCs w:val="36"/>
        </w:rPr>
        <w:t xml:space="preserve">Orden del día nº </w:t>
      </w:r>
      <w:r w:rsidR="00E573C4" w:rsidRPr="003F63FC">
        <w:rPr>
          <w:spacing w:val="-20"/>
          <w:sz w:val="36"/>
          <w:szCs w:val="36"/>
        </w:rPr>
        <w:t>__</w:t>
      </w:r>
      <w:r w:rsidR="009D1B99" w:rsidRPr="003F63FC">
        <w:rPr>
          <w:spacing w:val="-20"/>
          <w:sz w:val="36"/>
          <w:szCs w:val="36"/>
        </w:rPr>
        <w:t xml:space="preserve"> </w:t>
      </w:r>
    </w:p>
    <w:p w:rsidR="00872404" w:rsidRPr="003F63FC" w:rsidRDefault="003F63FC" w:rsidP="003F63FC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3F63FC">
        <w:rPr>
          <w:spacing w:val="-20"/>
          <w:sz w:val="36"/>
          <w:szCs w:val="36"/>
        </w:rPr>
        <w:t>rgo</w:t>
      </w:r>
    </w:p>
    <w:p w:rsidR="003E28B4" w:rsidRPr="003F63FC" w:rsidRDefault="003F63FC" w:rsidP="003F63FC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3F63FC">
        <w:rPr>
          <w:spacing w:val="-20"/>
          <w:sz w:val="36"/>
          <w:szCs w:val="36"/>
        </w:rPr>
        <w:t>Fase intervención</w:t>
      </w:r>
    </w:p>
    <w:p w:rsidR="00062D28" w:rsidRPr="003F63FC" w:rsidRDefault="003F63FC" w:rsidP="003F63FC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3F63FC">
        <w:rPr>
          <w:spacing w:val="-20"/>
          <w:sz w:val="36"/>
          <w:szCs w:val="36"/>
        </w:rPr>
        <w:t>Etapa de seguimiento</w:t>
      </w:r>
    </w:p>
    <w:p w:rsidR="00660B81" w:rsidRPr="003F63FC" w:rsidRDefault="003F63FC" w:rsidP="003F63FC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3F63FC">
        <w:rPr>
          <w:spacing w:val="-20"/>
          <w:sz w:val="36"/>
          <w:szCs w:val="36"/>
        </w:rPr>
        <w:t>Tarea 18</w:t>
      </w:r>
      <w:r w:rsidR="00FD015D" w:rsidRPr="003F63FC">
        <w:rPr>
          <w:spacing w:val="-20"/>
          <w:sz w:val="36"/>
          <w:szCs w:val="36"/>
        </w:rPr>
        <w:t xml:space="preserve">. </w:t>
      </w:r>
      <w:r w:rsidRPr="003F63FC">
        <w:rPr>
          <w:spacing w:val="-20"/>
          <w:sz w:val="36"/>
          <w:szCs w:val="36"/>
        </w:rPr>
        <w:t>Elaborar el informe de seguimiento y puesta en común sobre seguimiento (tarea 16</w:t>
      </w:r>
      <w:r w:rsidR="00330AF9" w:rsidRPr="003F63FC">
        <w:rPr>
          <w:spacing w:val="-20"/>
          <w:sz w:val="36"/>
          <w:szCs w:val="36"/>
        </w:rPr>
        <w:t xml:space="preserve"> y 17</w:t>
      </w:r>
      <w:r w:rsidR="0003149C" w:rsidRPr="003F63FC">
        <w:rPr>
          <w:spacing w:val="-20"/>
          <w:sz w:val="36"/>
          <w:szCs w:val="36"/>
        </w:rPr>
        <w:t>)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3F63FC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3F63FC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3F63FC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3F63FC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3F63FC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3F63FC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3F63FC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3F63FC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3F63FC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b/>
          <w:sz w:val="20"/>
          <w:szCs w:val="20"/>
        </w:rPr>
        <w:t>Duración prevista:</w:t>
      </w:r>
      <w:r w:rsidRPr="003F63FC">
        <w:rPr>
          <w:rFonts w:ascii="Century Gothic" w:hAnsi="Century Gothic" w:cs="Tahoma"/>
          <w:sz w:val="20"/>
          <w:szCs w:val="20"/>
        </w:rPr>
        <w:t xml:space="preserve"> </w:t>
      </w:r>
      <w:r w:rsidR="00330AF9" w:rsidRPr="003F63FC">
        <w:rPr>
          <w:rFonts w:ascii="Century Gothic" w:hAnsi="Century Gothic" w:cs="Tahoma"/>
          <w:sz w:val="20"/>
          <w:szCs w:val="20"/>
        </w:rPr>
        <w:t>9</w:t>
      </w:r>
      <w:r w:rsidR="00910EEA" w:rsidRPr="003F63FC">
        <w:rPr>
          <w:rFonts w:ascii="Century Gothic" w:hAnsi="Century Gothic" w:cs="Tahoma"/>
          <w:sz w:val="20"/>
          <w:szCs w:val="20"/>
        </w:rPr>
        <w:t>0</w:t>
      </w:r>
      <w:r w:rsidRPr="003F63FC">
        <w:rPr>
          <w:rFonts w:ascii="Century Gothic" w:hAnsi="Century Gothic" w:cs="Tahoma"/>
          <w:sz w:val="20"/>
          <w:szCs w:val="20"/>
        </w:rPr>
        <w:t xml:space="preserve"> minutos. </w:t>
      </w:r>
    </w:p>
    <w:p w:rsidR="00BA6A5F" w:rsidRPr="003F63FC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F63FC" w:rsidRPr="00B80B70" w:rsidRDefault="003F63FC" w:rsidP="003F63FC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3F63FC" w:rsidRPr="00CA0661" w:rsidRDefault="003F63FC" w:rsidP="003F63FC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3F63FC" w:rsidRPr="00CA0661" w:rsidRDefault="003F63FC" w:rsidP="003F63FC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</w:t>
      </w:r>
      <w:r>
        <w:rPr>
          <w:rFonts w:ascii="Century Gothic" w:hAnsi="Century Gothic" w:cs="Tahoma"/>
          <w:b/>
          <w:sz w:val="20"/>
          <w:szCs w:val="20"/>
        </w:rPr>
        <w:t>Grupo Ergo: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3F63FC" w:rsidRPr="00CA0661" w:rsidRDefault="003F63FC" w:rsidP="003F63FC">
      <w:pPr>
        <w:numPr>
          <w:ilvl w:val="0"/>
          <w:numId w:val="12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F63FC" w:rsidRPr="00CA0661" w:rsidRDefault="003F63FC" w:rsidP="003F63FC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3F63FC" w:rsidRPr="00CA0661" w:rsidRDefault="003F63FC" w:rsidP="003F63FC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3F63FC" w:rsidRPr="0019104C" w:rsidRDefault="003F63FC" w:rsidP="003F63FC">
      <w:pPr>
        <w:numPr>
          <w:ilvl w:val="0"/>
          <w:numId w:val="13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F63FC" w:rsidRPr="0019104C" w:rsidRDefault="003F63FC" w:rsidP="003F63FC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F63FC" w:rsidRDefault="003F63FC" w:rsidP="003F63FC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19104C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19104C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BA6A5F" w:rsidRPr="003F63FC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910EEA" w:rsidRPr="003F63FC" w:rsidRDefault="00031DB9" w:rsidP="00910EEA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3F63FC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330AF9" w:rsidRPr="003F63FC" w:rsidRDefault="00330AF9" w:rsidP="00330AF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Dar publicidad al acta de la sesión, según el plan de comunicación (Anexo 2). </w:t>
      </w:r>
    </w:p>
    <w:p w:rsidR="00330AF9" w:rsidRPr="003F63FC" w:rsidRDefault="00330AF9" w:rsidP="00330AF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Continuar con la planificación acordada en el control en la implementación de las medidas preventivas (Tarea 16). </w:t>
      </w:r>
    </w:p>
    <w:p w:rsidR="00A95C25" w:rsidRPr="003F63FC" w:rsidRDefault="00A95C25" w:rsidP="00A95C2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Completar la información a incluir en las herramientas a emplear en la evaluación de la eficacia (Tarea 17) por cada medida preventiva implantada, y realizar las copias necesarias. </w:t>
      </w:r>
    </w:p>
    <w:p w:rsidR="00330AF9" w:rsidRPr="003F63FC" w:rsidRDefault="00330AF9" w:rsidP="00330AF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>Desarrollar la planificación acordada en la evaluación de la eficacia de las medidas preventivas implantadas (Tarea 17).</w:t>
      </w:r>
    </w:p>
    <w:p w:rsidR="00330AF9" w:rsidRPr="003F63FC" w:rsidRDefault="00330AF9" w:rsidP="00330AF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Sintetizar la información recopilada por el Grupo Ergo, en la Ficha de evaluación de la eficacia de las medidas preventivas (Anexo 13). </w:t>
      </w:r>
    </w:p>
    <w:p w:rsidR="00062D28" w:rsidRPr="003F63FC" w:rsidRDefault="00330AF9" w:rsidP="00330AF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Lectura del Manual del Método ERGOPAR V2.0 (apartados correspondientes) </w:t>
      </w:r>
    </w:p>
    <w:p w:rsidR="00330AF9" w:rsidRDefault="00330AF9" w:rsidP="00330AF9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3F63FC" w:rsidRDefault="003F63FC" w:rsidP="00330AF9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3F63FC" w:rsidRPr="003F63FC" w:rsidRDefault="003F63FC" w:rsidP="00330AF9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03149C" w:rsidRPr="003F63FC" w:rsidRDefault="0003149C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3F63FC">
        <w:rPr>
          <w:rFonts w:ascii="Century Gothic" w:hAnsi="Century Gothic" w:cs="Tahoma"/>
          <w:b/>
          <w:sz w:val="20"/>
          <w:szCs w:val="20"/>
        </w:rPr>
        <w:lastRenderedPageBreak/>
        <w:t>Control: Puesta en común de los resultados obtenidos</w:t>
      </w:r>
      <w:r w:rsidR="00076FE5" w:rsidRPr="003F63FC">
        <w:rPr>
          <w:rFonts w:ascii="Century Gothic" w:hAnsi="Century Gothic" w:cs="Tahoma"/>
          <w:b/>
          <w:sz w:val="20"/>
          <w:szCs w:val="20"/>
        </w:rPr>
        <w:t>.</w:t>
      </w:r>
    </w:p>
    <w:p w:rsidR="0003149C" w:rsidRPr="003F63FC" w:rsidRDefault="0003149C" w:rsidP="0003149C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Comprobar que se van cumpliendo en tiempo y forma la implantación de las medidas, por puesto de trabajo. </w:t>
      </w:r>
    </w:p>
    <w:p w:rsidR="00910EEA" w:rsidRPr="003F63FC" w:rsidRDefault="0003149C" w:rsidP="0003149C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Si el Grupo Ergo comprueba que no se cumple, planteará al CSS la necesidad de refuerzo y revisión de los compromisos acordados en la planificación. </w:t>
      </w:r>
      <w:r w:rsidR="00076FE5" w:rsidRPr="003F63FC">
        <w:rPr>
          <w:rFonts w:ascii="Century Gothic" w:hAnsi="Century Gothic" w:cs="Tahoma"/>
          <w:sz w:val="20"/>
          <w:szCs w:val="20"/>
        </w:rPr>
        <w:t xml:space="preserve"> </w:t>
      </w:r>
    </w:p>
    <w:p w:rsidR="00D809B5" w:rsidRPr="003F63FC" w:rsidRDefault="00D809B5" w:rsidP="00D809B5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330AF9" w:rsidRPr="003F63FC" w:rsidRDefault="00330AF9" w:rsidP="00330AF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3F63FC">
        <w:rPr>
          <w:rFonts w:ascii="Century Gothic" w:hAnsi="Century Gothic" w:cs="Tahoma"/>
          <w:b/>
          <w:sz w:val="20"/>
          <w:szCs w:val="20"/>
        </w:rPr>
        <w:t>Evaluación de la eficacia: Puesta en común de los resultados obtenidos.</w:t>
      </w:r>
    </w:p>
    <w:p w:rsidR="00F51EE4" w:rsidRPr="003F63FC" w:rsidRDefault="00F51EE4" w:rsidP="00F51EE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>Valorar los resultados obtenidos con el fin de comprobar que realmente cada medida preventiva implantada por puesto de trabajo, cumple con el objetivo de su ejecución y no genera nuevas situaciones de riesgo</w:t>
      </w:r>
      <w:r w:rsidR="00330AF9" w:rsidRPr="003F63FC">
        <w:rPr>
          <w:rFonts w:ascii="Century Gothic" w:hAnsi="Century Gothic" w:cs="Tahoma"/>
          <w:sz w:val="20"/>
          <w:szCs w:val="20"/>
        </w:rPr>
        <w:t xml:space="preserve">. </w:t>
      </w:r>
    </w:p>
    <w:p w:rsidR="00EF28F2" w:rsidRPr="003F63FC" w:rsidRDefault="00EF28F2" w:rsidP="00F51EE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Mejora continua. </w:t>
      </w:r>
      <w:r w:rsidR="002B7AB4" w:rsidRPr="003F63FC">
        <w:rPr>
          <w:rFonts w:ascii="Century Gothic" w:hAnsi="Century Gothic" w:cs="Tahoma"/>
          <w:sz w:val="20"/>
          <w:szCs w:val="20"/>
        </w:rPr>
        <w:t xml:space="preserve">En el caso de </w:t>
      </w:r>
      <w:r w:rsidRPr="003F63FC">
        <w:rPr>
          <w:rFonts w:ascii="Century Gothic" w:hAnsi="Century Gothic" w:cs="Tahoma"/>
          <w:sz w:val="20"/>
          <w:szCs w:val="20"/>
        </w:rPr>
        <w:t xml:space="preserve">las medidas preventivas </w:t>
      </w:r>
      <w:r w:rsidR="002B7AB4" w:rsidRPr="003F63FC">
        <w:rPr>
          <w:rFonts w:ascii="Century Gothic" w:hAnsi="Century Gothic" w:cs="Tahoma"/>
          <w:sz w:val="20"/>
          <w:szCs w:val="20"/>
        </w:rPr>
        <w:t xml:space="preserve">en las que se confirme su </w:t>
      </w:r>
      <w:r w:rsidRPr="003F63FC">
        <w:rPr>
          <w:rFonts w:ascii="Century Gothic" w:hAnsi="Century Gothic" w:cs="Tahoma"/>
          <w:sz w:val="20"/>
          <w:szCs w:val="20"/>
        </w:rPr>
        <w:t>eficac</w:t>
      </w:r>
      <w:r w:rsidR="002B7AB4" w:rsidRPr="003F63FC">
        <w:rPr>
          <w:rFonts w:ascii="Century Gothic" w:hAnsi="Century Gothic" w:cs="Tahoma"/>
          <w:sz w:val="20"/>
          <w:szCs w:val="20"/>
        </w:rPr>
        <w:t>ia</w:t>
      </w:r>
      <w:r w:rsidRPr="003F63FC">
        <w:rPr>
          <w:rFonts w:ascii="Century Gothic" w:hAnsi="Century Gothic" w:cs="Tahoma"/>
          <w:sz w:val="20"/>
          <w:szCs w:val="20"/>
        </w:rPr>
        <w:t xml:space="preserve">, será necesario planificar controles periódicos de las condiciones de trabajo que permitan comprobar que </w:t>
      </w:r>
      <w:r w:rsidR="002B7AB4" w:rsidRPr="003F63FC">
        <w:rPr>
          <w:rFonts w:ascii="Century Gothic" w:hAnsi="Century Gothic" w:cs="Tahoma"/>
          <w:sz w:val="20"/>
          <w:szCs w:val="20"/>
        </w:rPr>
        <w:t xml:space="preserve">mantienen su </w:t>
      </w:r>
      <w:r w:rsidRPr="003F63FC">
        <w:rPr>
          <w:rFonts w:ascii="Century Gothic" w:hAnsi="Century Gothic" w:cs="Tahoma"/>
          <w:sz w:val="20"/>
          <w:szCs w:val="20"/>
        </w:rPr>
        <w:t xml:space="preserve"> eficac</w:t>
      </w:r>
      <w:r w:rsidR="002B7AB4" w:rsidRPr="003F63FC">
        <w:rPr>
          <w:rFonts w:ascii="Century Gothic" w:hAnsi="Century Gothic" w:cs="Tahoma"/>
          <w:sz w:val="20"/>
          <w:szCs w:val="20"/>
        </w:rPr>
        <w:t>ia</w:t>
      </w:r>
      <w:r w:rsidRPr="003F63FC">
        <w:rPr>
          <w:rFonts w:ascii="Century Gothic" w:hAnsi="Century Gothic" w:cs="Tahoma"/>
          <w:sz w:val="20"/>
          <w:szCs w:val="20"/>
        </w:rPr>
        <w:t xml:space="preserve">. </w:t>
      </w:r>
    </w:p>
    <w:p w:rsidR="00F51EE4" w:rsidRPr="003F63FC" w:rsidRDefault="00EF28F2" w:rsidP="00F51EE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Mejora continua. </w:t>
      </w:r>
      <w:r w:rsidR="00330AF9" w:rsidRPr="003F63FC">
        <w:rPr>
          <w:rFonts w:ascii="Century Gothic" w:hAnsi="Century Gothic" w:cs="Tahoma"/>
          <w:sz w:val="20"/>
          <w:szCs w:val="20"/>
        </w:rPr>
        <w:t xml:space="preserve">Si el Grupo Ergo comprueba que </w:t>
      </w:r>
      <w:r w:rsidR="00F51EE4" w:rsidRPr="003F63FC">
        <w:rPr>
          <w:rFonts w:ascii="Century Gothic" w:hAnsi="Century Gothic" w:cs="Tahoma"/>
          <w:sz w:val="20"/>
          <w:szCs w:val="20"/>
        </w:rPr>
        <w:t xml:space="preserve">una o varias medidas preventivas implantadas son ineficaces, deberá </w:t>
      </w:r>
      <w:r w:rsidRPr="003F63FC">
        <w:rPr>
          <w:rFonts w:ascii="Century Gothic" w:hAnsi="Century Gothic" w:cs="Tahoma"/>
          <w:sz w:val="20"/>
          <w:szCs w:val="20"/>
        </w:rPr>
        <w:t xml:space="preserve">en coordinación con el CSS, </w:t>
      </w:r>
      <w:r w:rsidR="00F51EE4" w:rsidRPr="003F63FC">
        <w:rPr>
          <w:rFonts w:ascii="Century Gothic" w:hAnsi="Century Gothic" w:cs="Tahoma"/>
          <w:sz w:val="20"/>
          <w:szCs w:val="20"/>
        </w:rPr>
        <w:t>en el siguiente orden:</w:t>
      </w:r>
    </w:p>
    <w:p w:rsidR="00330AF9" w:rsidRPr="003F63FC" w:rsidRDefault="00F51EE4" w:rsidP="00F51EE4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Corregir las causas de la ineficacia. </w:t>
      </w:r>
    </w:p>
    <w:p w:rsidR="00F51EE4" w:rsidRPr="003F63FC" w:rsidRDefault="00F51EE4" w:rsidP="00F51EE4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Valorar las medidas (o paquetes) alternativas propuestas (GE y círculos). </w:t>
      </w:r>
    </w:p>
    <w:p w:rsidR="00F51EE4" w:rsidRPr="003F63FC" w:rsidRDefault="00F51EE4" w:rsidP="00F51EE4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Buscar otras medidas nuevas en el GE y los círculos. </w:t>
      </w:r>
    </w:p>
    <w:p w:rsidR="00EF28F2" w:rsidRPr="003F63FC" w:rsidRDefault="00F51EE4" w:rsidP="00EF28F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Recurrir a especialistas en ergonomía. </w:t>
      </w:r>
    </w:p>
    <w:p w:rsidR="0003149C" w:rsidRPr="003F63FC" w:rsidRDefault="0003149C" w:rsidP="0003149C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2E7173" w:rsidRPr="003F63FC" w:rsidRDefault="002E7173" w:rsidP="00A95C2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b/>
          <w:sz w:val="20"/>
          <w:szCs w:val="20"/>
        </w:rPr>
        <w:t xml:space="preserve">Comprobar las condiciones de éxito </w:t>
      </w:r>
      <w:r w:rsidRPr="003F63FC">
        <w:rPr>
          <w:rFonts w:ascii="Century Gothic" w:hAnsi="Century Gothic" w:cs="Tahoma"/>
          <w:sz w:val="20"/>
          <w:szCs w:val="20"/>
        </w:rPr>
        <w:t>(Apartado 2.2 y Anexo 1)</w:t>
      </w:r>
    </w:p>
    <w:p w:rsidR="002E7173" w:rsidRPr="003F63FC" w:rsidRDefault="002E7173" w:rsidP="002E7173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D809B5" w:rsidRPr="003F63FC" w:rsidRDefault="00EF28F2" w:rsidP="00A95C2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3F63FC">
        <w:rPr>
          <w:rFonts w:ascii="Century Gothic" w:hAnsi="Century Gothic" w:cs="Tahoma"/>
          <w:b/>
          <w:sz w:val="20"/>
          <w:szCs w:val="20"/>
        </w:rPr>
        <w:t>Elaborar el Informe de seguimiento</w:t>
      </w:r>
      <w:r w:rsidR="00A95C25" w:rsidRPr="003F63FC">
        <w:rPr>
          <w:rFonts w:ascii="Century Gothic" w:hAnsi="Century Gothic" w:cs="Tahoma"/>
          <w:b/>
          <w:sz w:val="20"/>
          <w:szCs w:val="20"/>
        </w:rPr>
        <w:t xml:space="preserve"> completando la información correspondiente en el Modelo de informe disponible en ergopar.istas.net.</w:t>
      </w:r>
      <w:r w:rsidR="00076FE5" w:rsidRPr="003F63FC">
        <w:rPr>
          <w:rFonts w:ascii="Century Gothic" w:hAnsi="Century Gothic" w:cs="Tahoma"/>
          <w:sz w:val="20"/>
          <w:szCs w:val="20"/>
        </w:rPr>
        <w:t xml:space="preserve"> </w:t>
      </w:r>
    </w:p>
    <w:p w:rsidR="00CE1695" w:rsidRPr="003F63FC" w:rsidRDefault="00CE1695" w:rsidP="00CE1695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C1F72" w:rsidRPr="003F63FC" w:rsidRDefault="008C1F72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3F63FC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DD798D" w:rsidRPr="003F63FC" w:rsidRDefault="00DD798D" w:rsidP="008819E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Dar publicidad al acta de la sesión, según el plan de comunicación (Anexo 2). </w:t>
      </w:r>
    </w:p>
    <w:p w:rsidR="002E7173" w:rsidRPr="003F63FC" w:rsidRDefault="002E7173" w:rsidP="002E7173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>Si fuera necesario, corregir las condiciones desfavorables detectadas en la comprobación de las condiciones de éxito.</w:t>
      </w:r>
    </w:p>
    <w:p w:rsidR="002E7173" w:rsidRPr="003F63FC" w:rsidRDefault="002E7173" w:rsidP="002E7173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Dar publicidad al contenido del informe de seguimiento, según el plan de comunicación (Anexo 2). </w:t>
      </w:r>
    </w:p>
    <w:p w:rsidR="00863B28" w:rsidRPr="003F63FC" w:rsidRDefault="005D7A54" w:rsidP="00863B28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Continuar con la planificación acordada </w:t>
      </w:r>
      <w:r w:rsidR="005740F8" w:rsidRPr="003F63FC">
        <w:rPr>
          <w:rFonts w:ascii="Century Gothic" w:hAnsi="Century Gothic" w:cs="Tahoma"/>
          <w:sz w:val="20"/>
          <w:szCs w:val="20"/>
        </w:rPr>
        <w:t>en</w:t>
      </w:r>
      <w:r w:rsidRPr="003F63FC">
        <w:rPr>
          <w:rFonts w:ascii="Century Gothic" w:hAnsi="Century Gothic" w:cs="Tahoma"/>
          <w:sz w:val="20"/>
          <w:szCs w:val="20"/>
        </w:rPr>
        <w:t xml:space="preserve"> el control en la implementación de las medidas preventivas (Tarea 16). </w:t>
      </w:r>
    </w:p>
    <w:p w:rsidR="003A7D9E" w:rsidRPr="003F63FC" w:rsidRDefault="00A95C25" w:rsidP="008819E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>Continuar con</w:t>
      </w:r>
      <w:r w:rsidR="005D7A54" w:rsidRPr="003F63FC">
        <w:rPr>
          <w:rFonts w:ascii="Century Gothic" w:hAnsi="Century Gothic" w:cs="Tahoma"/>
          <w:sz w:val="20"/>
          <w:szCs w:val="20"/>
        </w:rPr>
        <w:t xml:space="preserve"> la planificación acordada en la evaluación de la eficacia de las medidas preventivas implantadas (Tarea 17</w:t>
      </w:r>
      <w:r w:rsidR="008819E1" w:rsidRPr="003F63FC">
        <w:rPr>
          <w:rFonts w:ascii="Century Gothic" w:hAnsi="Century Gothic" w:cs="Tahoma"/>
          <w:sz w:val="20"/>
          <w:szCs w:val="20"/>
        </w:rPr>
        <w:t>)</w:t>
      </w:r>
      <w:r w:rsidR="00D809B5" w:rsidRPr="003F63FC">
        <w:rPr>
          <w:rFonts w:ascii="Century Gothic" w:hAnsi="Century Gothic" w:cs="Tahoma"/>
          <w:sz w:val="20"/>
          <w:szCs w:val="20"/>
        </w:rPr>
        <w:t>.</w:t>
      </w:r>
    </w:p>
    <w:p w:rsidR="00623293" w:rsidRPr="003F63FC" w:rsidRDefault="00330E8C" w:rsidP="00623293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Sintetizar la información recopilada por el Grupo Ergo, en la Ficha de evaluación de la eficacia de las medidas preventivas (Anexo 13). </w:t>
      </w:r>
    </w:p>
    <w:p w:rsidR="008C1F72" w:rsidRPr="003F63FC" w:rsidRDefault="008C1F72" w:rsidP="008C1F72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8819E1" w:rsidRPr="003F63FC" w:rsidRDefault="005D7A54" w:rsidP="005D7A54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sz w:val="20"/>
          <w:szCs w:val="20"/>
        </w:rPr>
        <w:t>Tarea 1</w:t>
      </w:r>
      <w:r w:rsidR="002E7173" w:rsidRPr="003F63FC">
        <w:rPr>
          <w:rFonts w:ascii="Century Gothic" w:hAnsi="Century Gothic" w:cs="Tahoma"/>
          <w:sz w:val="20"/>
          <w:szCs w:val="20"/>
        </w:rPr>
        <w:t>9</w:t>
      </w:r>
      <w:r w:rsidR="008C1F72" w:rsidRPr="003F63FC">
        <w:rPr>
          <w:rFonts w:ascii="Century Gothic" w:hAnsi="Century Gothic" w:cs="Tahoma"/>
          <w:sz w:val="20"/>
          <w:szCs w:val="20"/>
        </w:rPr>
        <w:t>.</w:t>
      </w:r>
      <w:r w:rsidR="008819E1" w:rsidRPr="003F63FC">
        <w:rPr>
          <w:rFonts w:ascii="Century Gothic" w:hAnsi="Century Gothic" w:cs="Tahoma"/>
          <w:sz w:val="20"/>
          <w:szCs w:val="20"/>
        </w:rPr>
        <w:t xml:space="preserve"> </w:t>
      </w:r>
    </w:p>
    <w:p w:rsidR="00031DB9" w:rsidRPr="003F63FC" w:rsidRDefault="00031DB9" w:rsidP="00031DB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5D7A54" w:rsidRPr="003F63FC" w:rsidRDefault="008819E1" w:rsidP="004E4C1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3F63FC">
        <w:rPr>
          <w:rFonts w:ascii="Century Gothic" w:hAnsi="Century Gothic" w:cs="Tahoma"/>
          <w:b/>
          <w:sz w:val="20"/>
          <w:szCs w:val="20"/>
        </w:rPr>
        <w:t>Fijar fecha de la siguiente sesión del Grupo Ergo</w:t>
      </w:r>
      <w:r w:rsidR="00DD798D" w:rsidRPr="003F63FC">
        <w:rPr>
          <w:rFonts w:ascii="Century Gothic" w:hAnsi="Century Gothic" w:cs="Tahoma"/>
          <w:b/>
          <w:sz w:val="20"/>
          <w:szCs w:val="20"/>
        </w:rPr>
        <w:t xml:space="preserve"> (</w:t>
      </w:r>
      <w:r w:rsidRPr="003F63FC">
        <w:rPr>
          <w:rFonts w:ascii="Century Gothic" w:hAnsi="Century Gothic" w:cs="Tahoma"/>
          <w:b/>
          <w:sz w:val="20"/>
          <w:szCs w:val="20"/>
        </w:rPr>
        <w:t>pasado un mes</w:t>
      </w:r>
      <w:r w:rsidR="00DD798D" w:rsidRPr="003F63FC">
        <w:rPr>
          <w:rFonts w:ascii="Century Gothic" w:hAnsi="Century Gothic" w:cs="Tahoma"/>
          <w:b/>
          <w:sz w:val="20"/>
          <w:szCs w:val="20"/>
        </w:rPr>
        <w:t>)</w:t>
      </w:r>
      <w:r w:rsidRPr="003F63FC">
        <w:rPr>
          <w:rFonts w:ascii="Century Gothic" w:hAnsi="Century Gothic" w:cs="Tahoma"/>
          <w:b/>
          <w:sz w:val="20"/>
          <w:szCs w:val="20"/>
        </w:rPr>
        <w:t xml:space="preserve"> para </w:t>
      </w:r>
      <w:r w:rsidR="00DD798D" w:rsidRPr="003F63FC">
        <w:rPr>
          <w:rFonts w:ascii="Century Gothic" w:hAnsi="Century Gothic" w:cs="Tahoma"/>
          <w:b/>
          <w:sz w:val="20"/>
          <w:szCs w:val="20"/>
        </w:rPr>
        <w:t xml:space="preserve">continuar con </w:t>
      </w:r>
      <w:r w:rsidRPr="003F63FC">
        <w:rPr>
          <w:rFonts w:ascii="Century Gothic" w:hAnsi="Century Gothic" w:cs="Tahoma"/>
          <w:b/>
          <w:sz w:val="20"/>
          <w:szCs w:val="20"/>
        </w:rPr>
        <w:t>el</w:t>
      </w:r>
      <w:r w:rsidR="00DD798D" w:rsidRPr="003F63FC">
        <w:rPr>
          <w:rFonts w:ascii="Century Gothic" w:hAnsi="Century Gothic" w:cs="Tahoma"/>
          <w:b/>
          <w:sz w:val="20"/>
          <w:szCs w:val="20"/>
        </w:rPr>
        <w:t xml:space="preserve"> seguimiento y puesta en común</w:t>
      </w:r>
      <w:r w:rsidR="00330E8C" w:rsidRPr="003F63FC">
        <w:rPr>
          <w:rFonts w:ascii="Century Gothic" w:hAnsi="Century Gothic" w:cs="Tahoma"/>
          <w:b/>
          <w:sz w:val="20"/>
          <w:szCs w:val="20"/>
        </w:rPr>
        <w:t xml:space="preserve"> (Tarea 16 y 17)</w:t>
      </w:r>
      <w:r w:rsidR="00623293" w:rsidRPr="003F63FC">
        <w:rPr>
          <w:rFonts w:ascii="Century Gothic" w:hAnsi="Century Gothic" w:cs="Tahoma"/>
          <w:b/>
          <w:sz w:val="20"/>
          <w:szCs w:val="20"/>
        </w:rPr>
        <w:t>; y actualizaciones periódicas del Informe de seguimiento</w:t>
      </w:r>
      <w:r w:rsidR="00863B28" w:rsidRPr="003F63FC">
        <w:rPr>
          <w:rFonts w:ascii="Century Gothic" w:hAnsi="Century Gothic" w:cs="Tahoma"/>
          <w:b/>
          <w:sz w:val="20"/>
          <w:szCs w:val="20"/>
        </w:rPr>
        <w:t xml:space="preserve"> (Tarea 18)</w:t>
      </w:r>
      <w:r w:rsidR="00C37F6E" w:rsidRPr="003F63FC">
        <w:rPr>
          <w:rFonts w:ascii="Century Gothic" w:hAnsi="Century Gothic" w:cs="Tahoma"/>
          <w:sz w:val="20"/>
          <w:szCs w:val="20"/>
        </w:rPr>
        <w:t>.</w:t>
      </w:r>
    </w:p>
    <w:p w:rsidR="004E4C19" w:rsidRPr="003F63FC" w:rsidRDefault="004E4C19" w:rsidP="004E4C1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5D7A54" w:rsidRPr="003F63FC" w:rsidRDefault="005D7A54" w:rsidP="005D7A54">
      <w:pPr>
        <w:ind w:left="720"/>
        <w:jc w:val="both"/>
        <w:rPr>
          <w:rFonts w:ascii="Century Gothic" w:hAnsi="Century Gothic" w:cs="Tahoma"/>
          <w:i/>
          <w:color w:val="7F7F7F" w:themeColor="text1" w:themeTint="80"/>
          <w:sz w:val="20"/>
          <w:szCs w:val="20"/>
        </w:rPr>
      </w:pPr>
      <w:r w:rsidRPr="003F63FC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>(</w:t>
      </w:r>
      <w:r w:rsidR="002E7173" w:rsidRPr="003F63FC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>El Grupo Ergo deberá seguir reuniéndose periódicamente conforme avance el seguimiento de las medidas preventivas,</w:t>
      </w:r>
      <w:r w:rsidR="00623293" w:rsidRPr="003F63FC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 xml:space="preserve"> hasta que se hayan ejecutado y evaluado todas las medidas acordadas,</w:t>
      </w:r>
      <w:r w:rsidR="002E7173" w:rsidRPr="003F63FC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 xml:space="preserve"> tanto para el control como en la evaluación de su eficacia, tareas que se desarrollarán simultáne</w:t>
      </w:r>
      <w:r w:rsidR="00C332A2" w:rsidRPr="003F63FC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 xml:space="preserve">amente, según </w:t>
      </w:r>
      <w:r w:rsidR="00C332A2" w:rsidRPr="003F63FC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lastRenderedPageBreak/>
        <w:t xml:space="preserve">la planificación. </w:t>
      </w:r>
      <w:r w:rsidR="00623293" w:rsidRPr="003F63FC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>Del mismo modo, será necesario actualizar el Informe de seguimiento, y continuar con el plan de comunicación en la empresa</w:t>
      </w:r>
      <w:r w:rsidR="00A55271" w:rsidRPr="003F63FC">
        <w:rPr>
          <w:rFonts w:ascii="Century Gothic" w:hAnsi="Century Gothic" w:cs="Tahoma"/>
          <w:i/>
          <w:color w:val="7F7F7F" w:themeColor="text1" w:themeTint="80"/>
          <w:sz w:val="20"/>
          <w:szCs w:val="20"/>
        </w:rPr>
        <w:t>).</w:t>
      </w:r>
    </w:p>
    <w:p w:rsidR="00C332A2" w:rsidRPr="003F63FC" w:rsidRDefault="00C332A2" w:rsidP="00C332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3F63FC">
        <w:rPr>
          <w:rFonts w:ascii="Century Gothic" w:hAnsi="Century Gothic" w:cs="Tahoma"/>
          <w:b/>
          <w:sz w:val="20"/>
          <w:szCs w:val="20"/>
        </w:rPr>
        <w:t xml:space="preserve">Fijar fecha de la siguiente </w:t>
      </w:r>
      <w:r w:rsidR="00863B28" w:rsidRPr="003F63FC">
        <w:rPr>
          <w:rFonts w:ascii="Century Gothic" w:hAnsi="Century Gothic" w:cs="Tahoma"/>
          <w:b/>
          <w:sz w:val="20"/>
          <w:szCs w:val="20"/>
        </w:rPr>
        <w:t>reunión</w:t>
      </w:r>
      <w:r w:rsidRPr="003F63FC">
        <w:rPr>
          <w:rFonts w:ascii="Century Gothic" w:hAnsi="Century Gothic" w:cs="Tahoma"/>
          <w:b/>
          <w:sz w:val="20"/>
          <w:szCs w:val="20"/>
        </w:rPr>
        <w:t xml:space="preserve"> del Grupo Ergo en el Comité de Seguridad y Salud en </w:t>
      </w:r>
      <w:r w:rsidR="00E51732" w:rsidRPr="003F63FC">
        <w:rPr>
          <w:rFonts w:ascii="Century Gothic" w:hAnsi="Century Gothic" w:cs="Tahoma"/>
          <w:b/>
          <w:sz w:val="20"/>
          <w:szCs w:val="20"/>
        </w:rPr>
        <w:t>la que explicará en detalle el I</w:t>
      </w:r>
      <w:r w:rsidRPr="003F63FC">
        <w:rPr>
          <w:rFonts w:ascii="Century Gothic" w:hAnsi="Century Gothic" w:cs="Tahoma"/>
          <w:b/>
          <w:sz w:val="20"/>
          <w:szCs w:val="20"/>
        </w:rPr>
        <w:t xml:space="preserve">nforme de seguimiento, para proceder a valorar los resultados y definir la continuidad del método (Tarea 19). </w:t>
      </w:r>
    </w:p>
    <w:p w:rsidR="00C332A2" w:rsidRPr="003F63FC" w:rsidRDefault="00C332A2" w:rsidP="00C332A2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C332A2" w:rsidRPr="003F63FC" w:rsidRDefault="00C332A2" w:rsidP="00C332A2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031DB9" w:rsidRPr="003F63FC" w:rsidRDefault="00031DB9" w:rsidP="00C332A2">
      <w:pPr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3F63FC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17" w:rsidRDefault="00E16217" w:rsidP="00660B81">
      <w:pPr>
        <w:spacing w:after="0" w:line="240" w:lineRule="auto"/>
      </w:pPr>
      <w:r>
        <w:separator/>
      </w:r>
    </w:p>
  </w:endnote>
  <w:endnote w:type="continuationSeparator" w:id="1">
    <w:p w:rsidR="00E16217" w:rsidRDefault="00E16217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C" w:rsidRPr="002B1622" w:rsidRDefault="003F63FC" w:rsidP="003F63FC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E16217" w:rsidRDefault="00E162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17" w:rsidRDefault="00E16217" w:rsidP="00660B81">
      <w:pPr>
        <w:spacing w:after="0" w:line="240" w:lineRule="auto"/>
      </w:pPr>
      <w:r>
        <w:separator/>
      </w:r>
    </w:p>
  </w:footnote>
  <w:footnote w:type="continuationSeparator" w:id="1">
    <w:p w:rsidR="00E16217" w:rsidRDefault="00E16217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C" w:rsidRPr="002B1622" w:rsidRDefault="003F63FC" w:rsidP="003F63FC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E16217" w:rsidRPr="003F63FC" w:rsidRDefault="00E16217" w:rsidP="003F63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5.45pt;height:10.2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4FD102C"/>
    <w:multiLevelType w:val="hybridMultilevel"/>
    <w:tmpl w:val="B01A4638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D8D6B5F"/>
    <w:multiLevelType w:val="hybridMultilevel"/>
    <w:tmpl w:val="2AA09360"/>
    <w:lvl w:ilvl="0" w:tplc="75744520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403AE"/>
    <w:multiLevelType w:val="hybridMultilevel"/>
    <w:tmpl w:val="C3202B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4F61E9"/>
    <w:multiLevelType w:val="hybridMultilevel"/>
    <w:tmpl w:val="ED9AF112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24A67"/>
    <w:rsid w:val="0003149C"/>
    <w:rsid w:val="00031DB9"/>
    <w:rsid w:val="00062D28"/>
    <w:rsid w:val="00076FE5"/>
    <w:rsid w:val="00092C58"/>
    <w:rsid w:val="000A5DB1"/>
    <w:rsid w:val="000B6C08"/>
    <w:rsid w:val="0013370E"/>
    <w:rsid w:val="00170A45"/>
    <w:rsid w:val="00183849"/>
    <w:rsid w:val="001A0DB1"/>
    <w:rsid w:val="0020323D"/>
    <w:rsid w:val="00203D2F"/>
    <w:rsid w:val="00207A63"/>
    <w:rsid w:val="00295304"/>
    <w:rsid w:val="002A4E2F"/>
    <w:rsid w:val="002B7AB4"/>
    <w:rsid w:val="002E7173"/>
    <w:rsid w:val="002F50D3"/>
    <w:rsid w:val="00330AF9"/>
    <w:rsid w:val="00330E8C"/>
    <w:rsid w:val="00377E93"/>
    <w:rsid w:val="003A7D9E"/>
    <w:rsid w:val="003B754E"/>
    <w:rsid w:val="003D367B"/>
    <w:rsid w:val="003E28B4"/>
    <w:rsid w:val="003F63FC"/>
    <w:rsid w:val="00446FD1"/>
    <w:rsid w:val="00452FFC"/>
    <w:rsid w:val="00495A40"/>
    <w:rsid w:val="004C1335"/>
    <w:rsid w:val="004D27DA"/>
    <w:rsid w:val="004D400C"/>
    <w:rsid w:val="004D6CDF"/>
    <w:rsid w:val="004E4C19"/>
    <w:rsid w:val="00542046"/>
    <w:rsid w:val="005429B1"/>
    <w:rsid w:val="00563D0A"/>
    <w:rsid w:val="00572D87"/>
    <w:rsid w:val="005740F8"/>
    <w:rsid w:val="00584798"/>
    <w:rsid w:val="005B31F4"/>
    <w:rsid w:val="005D7A54"/>
    <w:rsid w:val="005E307E"/>
    <w:rsid w:val="005E7263"/>
    <w:rsid w:val="00623293"/>
    <w:rsid w:val="006244EA"/>
    <w:rsid w:val="0063038F"/>
    <w:rsid w:val="006506B0"/>
    <w:rsid w:val="00652BCA"/>
    <w:rsid w:val="00660B81"/>
    <w:rsid w:val="00667CBD"/>
    <w:rsid w:val="00674091"/>
    <w:rsid w:val="0068773B"/>
    <w:rsid w:val="006B4FF6"/>
    <w:rsid w:val="006F5594"/>
    <w:rsid w:val="0071075D"/>
    <w:rsid w:val="00711731"/>
    <w:rsid w:val="00714DA1"/>
    <w:rsid w:val="0073086D"/>
    <w:rsid w:val="007713A5"/>
    <w:rsid w:val="007A2DFD"/>
    <w:rsid w:val="00804976"/>
    <w:rsid w:val="008064F6"/>
    <w:rsid w:val="00834F01"/>
    <w:rsid w:val="00844E74"/>
    <w:rsid w:val="00863B28"/>
    <w:rsid w:val="00872404"/>
    <w:rsid w:val="008819E1"/>
    <w:rsid w:val="008C1F72"/>
    <w:rsid w:val="00910EEA"/>
    <w:rsid w:val="009454C8"/>
    <w:rsid w:val="00962398"/>
    <w:rsid w:val="009855C8"/>
    <w:rsid w:val="009C6A93"/>
    <w:rsid w:val="009D1B99"/>
    <w:rsid w:val="00A05970"/>
    <w:rsid w:val="00A128AE"/>
    <w:rsid w:val="00A55271"/>
    <w:rsid w:val="00A61022"/>
    <w:rsid w:val="00A62A1E"/>
    <w:rsid w:val="00A95C25"/>
    <w:rsid w:val="00AC5252"/>
    <w:rsid w:val="00AD4EE8"/>
    <w:rsid w:val="00B20731"/>
    <w:rsid w:val="00B3516A"/>
    <w:rsid w:val="00B624CB"/>
    <w:rsid w:val="00B67383"/>
    <w:rsid w:val="00B95C23"/>
    <w:rsid w:val="00BA6A5F"/>
    <w:rsid w:val="00BC3064"/>
    <w:rsid w:val="00BF2902"/>
    <w:rsid w:val="00C332A2"/>
    <w:rsid w:val="00C37F6E"/>
    <w:rsid w:val="00C508C7"/>
    <w:rsid w:val="00C60072"/>
    <w:rsid w:val="00C87090"/>
    <w:rsid w:val="00CC276A"/>
    <w:rsid w:val="00CE1695"/>
    <w:rsid w:val="00CF3998"/>
    <w:rsid w:val="00D01A5A"/>
    <w:rsid w:val="00D061EE"/>
    <w:rsid w:val="00D120D8"/>
    <w:rsid w:val="00D12CA6"/>
    <w:rsid w:val="00D809B5"/>
    <w:rsid w:val="00D82DD9"/>
    <w:rsid w:val="00D97FE6"/>
    <w:rsid w:val="00DD798D"/>
    <w:rsid w:val="00DE124B"/>
    <w:rsid w:val="00DE16C9"/>
    <w:rsid w:val="00E16217"/>
    <w:rsid w:val="00E51732"/>
    <w:rsid w:val="00E573C4"/>
    <w:rsid w:val="00E71882"/>
    <w:rsid w:val="00E92664"/>
    <w:rsid w:val="00EB0E63"/>
    <w:rsid w:val="00EB48FD"/>
    <w:rsid w:val="00EE04A8"/>
    <w:rsid w:val="00EF02BB"/>
    <w:rsid w:val="00EF0987"/>
    <w:rsid w:val="00EF0B74"/>
    <w:rsid w:val="00EF28F2"/>
    <w:rsid w:val="00EF2C42"/>
    <w:rsid w:val="00F17707"/>
    <w:rsid w:val="00F47DCF"/>
    <w:rsid w:val="00F51EE4"/>
    <w:rsid w:val="00F55BE0"/>
    <w:rsid w:val="00F60BD4"/>
    <w:rsid w:val="00F81EDD"/>
    <w:rsid w:val="00F93465"/>
    <w:rsid w:val="00FD015D"/>
    <w:rsid w:val="00FD79DF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F63FC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F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paragraph" w:customStyle="1" w:styleId="Vieta2">
    <w:name w:val="Viñeta 2"/>
    <w:basedOn w:val="Normal"/>
    <w:qFormat/>
    <w:rsid w:val="00076FE5"/>
    <w:pPr>
      <w:numPr>
        <w:numId w:val="6"/>
      </w:numPr>
      <w:spacing w:before="120" w:after="120" w:line="240" w:lineRule="auto"/>
      <w:ind w:left="1276" w:hanging="349"/>
      <w:jc w:val="both"/>
    </w:pPr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3F63FC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3F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24</cp:revision>
  <cp:lastPrinted>2014-11-19T15:38:00Z</cp:lastPrinted>
  <dcterms:created xsi:type="dcterms:W3CDTF">2014-11-19T12:10:00Z</dcterms:created>
  <dcterms:modified xsi:type="dcterms:W3CDTF">2014-12-15T10:06:00Z</dcterms:modified>
</cp:coreProperties>
</file>